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C3" w:rsidRPr="00314652" w:rsidRDefault="001A0BC3" w:rsidP="00314652">
      <w:pPr>
        <w:spacing w:after="0" w:line="240" w:lineRule="auto"/>
        <w:jc w:val="center"/>
        <w:rPr>
          <w:rFonts w:ascii="Times New Roman" w:hAnsi="Times New Roman"/>
          <w:sz w:val="24"/>
          <w:szCs w:val="24"/>
        </w:rPr>
      </w:pPr>
      <w:r w:rsidRPr="00314652">
        <w:rPr>
          <w:rFonts w:ascii="Verdana" w:hAnsi="Verdana"/>
          <w:b/>
          <w:bCs/>
          <w:sz w:val="36"/>
          <w:szCs w:val="36"/>
        </w:rPr>
        <w:t>Quick Reference – KTEA II</w:t>
      </w:r>
    </w:p>
    <w:p w:rsidR="001A0BC3" w:rsidRPr="00314652" w:rsidRDefault="001A0BC3" w:rsidP="00314652">
      <w:pPr>
        <w:spacing w:after="0" w:line="240" w:lineRule="auto"/>
        <w:rPr>
          <w:rFonts w:ascii="Times New Roman" w:hAnsi="Times New Roman"/>
          <w:sz w:val="24"/>
          <w:szCs w:val="24"/>
        </w:rPr>
      </w:pPr>
      <w:r w:rsidRPr="00314652">
        <w:rPr>
          <w:rFonts w:ascii="Times New Roman" w:hAnsi="Times New Roman"/>
          <w:b/>
          <w:bCs/>
          <w:sz w:val="24"/>
          <w:szCs w:val="24"/>
        </w:rPr>
        <w:br/>
      </w:r>
      <w:r w:rsidRPr="00314652">
        <w:rPr>
          <w:rFonts w:ascii="Verdana" w:hAnsi="Verdana"/>
          <w:b/>
          <w:sz w:val="24"/>
          <w:szCs w:val="24"/>
          <w:u w:val="single"/>
        </w:rPr>
        <w:t>Information about the Test</w:t>
      </w:r>
      <w:r w:rsidRPr="00314652">
        <w:rPr>
          <w:rFonts w:ascii="Times New Roman" w:hAnsi="Times New Roman"/>
          <w:b/>
          <w:sz w:val="24"/>
          <w:szCs w:val="24"/>
        </w:rPr>
        <w:br/>
      </w:r>
      <w:r w:rsidRPr="00314652">
        <w:rPr>
          <w:rFonts w:ascii="Times New Roman" w:hAnsi="Times New Roman"/>
          <w:sz w:val="24"/>
          <w:szCs w:val="24"/>
        </w:rPr>
        <w:br/>
      </w:r>
      <w:r w:rsidRPr="00314652">
        <w:rPr>
          <w:rFonts w:ascii="Verdana" w:hAnsi="Verdana"/>
          <w:sz w:val="24"/>
          <w:szCs w:val="24"/>
        </w:rPr>
        <w:t>1. Test name: Kaufman Test of Educational Achievement (2nd Edition), main authors, Alan and Nadeen Kaufman</w:t>
      </w:r>
      <w:r w:rsidRPr="00314652">
        <w:rPr>
          <w:rFonts w:ascii="Times New Roman" w:hAnsi="Times New Roman"/>
          <w:sz w:val="24"/>
          <w:szCs w:val="24"/>
        </w:rPr>
        <w:br/>
      </w:r>
      <w:r w:rsidRPr="00314652">
        <w:rPr>
          <w:rFonts w:ascii="Times New Roman" w:hAnsi="Times New Roman"/>
          <w:sz w:val="24"/>
          <w:szCs w:val="24"/>
        </w:rPr>
        <w:br/>
      </w:r>
      <w:r w:rsidRPr="00314652">
        <w:rPr>
          <w:rFonts w:ascii="Verdana" w:hAnsi="Verdana"/>
          <w:sz w:val="24"/>
          <w:szCs w:val="24"/>
        </w:rPr>
        <w:t>2. When it was published: KTEA, 1985; KTEA-II, 2004; KTEA Brief, 1985, 1997, 1998, 2005.</w:t>
      </w:r>
      <w:r w:rsidRPr="00314652">
        <w:rPr>
          <w:rFonts w:ascii="Times New Roman" w:hAnsi="Times New Roman"/>
          <w:sz w:val="24"/>
          <w:szCs w:val="24"/>
        </w:rPr>
        <w:br/>
      </w:r>
      <w:r w:rsidRPr="00314652">
        <w:rPr>
          <w:rFonts w:ascii="Times New Roman" w:hAnsi="Times New Roman"/>
          <w:sz w:val="24"/>
          <w:szCs w:val="24"/>
        </w:rPr>
        <w:br/>
      </w:r>
      <w:r w:rsidRPr="00314652">
        <w:rPr>
          <w:rFonts w:ascii="Verdana" w:hAnsi="Verdana"/>
          <w:sz w:val="24"/>
          <w:szCs w:val="24"/>
        </w:rPr>
        <w:t>3. Alternative forms: There are 2 forms included in the Kaufman Test of Educational Achievement (K-TEA): Comprehensive and Brief. The Brief Form tests reading, mathematics, and spelling (1998, 2005). The Comprehensive Form measures more specific abilities, such as, reading decoding and comprehension, mathematics applications and computation, and spelling (1985, 2004).</w:t>
      </w:r>
      <w:r w:rsidRPr="00314652">
        <w:rPr>
          <w:rFonts w:ascii="Times New Roman" w:hAnsi="Times New Roman"/>
          <w:sz w:val="24"/>
          <w:szCs w:val="24"/>
        </w:rPr>
        <w:br/>
      </w:r>
      <w:r w:rsidRPr="00314652">
        <w:rPr>
          <w:rFonts w:ascii="Verdana" w:hAnsi="Verdana"/>
          <w:sz w:val="24"/>
          <w:szCs w:val="24"/>
        </w:rPr>
        <w:t>The KTEA Brief is commonly used for screening (to determine if further testing should be required) and the KTEA-II Comprehensive is used as an analysis of strengths and weaknesses to identify areas needing remediation or enrichment, to analyze errors as an aid in individualizing instruction.</w:t>
      </w:r>
      <w:r w:rsidRPr="00314652">
        <w:rPr>
          <w:rFonts w:ascii="Times New Roman" w:hAnsi="Times New Roman"/>
          <w:sz w:val="24"/>
          <w:szCs w:val="24"/>
        </w:rPr>
        <w:br/>
      </w:r>
      <w:r w:rsidRPr="00314652">
        <w:rPr>
          <w:rFonts w:ascii="Times New Roman" w:hAnsi="Times New Roman"/>
          <w:sz w:val="24"/>
          <w:szCs w:val="24"/>
        </w:rPr>
        <w:br/>
      </w:r>
      <w:r w:rsidRPr="00314652">
        <w:rPr>
          <w:rFonts w:ascii="Verdana" w:hAnsi="Verdana"/>
          <w:sz w:val="24"/>
          <w:szCs w:val="24"/>
        </w:rPr>
        <w:t>4. Administration Time:</w:t>
      </w:r>
      <w:r w:rsidRPr="00314652">
        <w:rPr>
          <w:rFonts w:ascii="Times New Roman" w:hAnsi="Times New Roman"/>
          <w:sz w:val="24"/>
          <w:szCs w:val="24"/>
        </w:rPr>
        <w:br/>
      </w:r>
      <w:r w:rsidRPr="00314652">
        <w:rPr>
          <w:rFonts w:ascii="Verdana" w:hAnsi="Verdana"/>
          <w:sz w:val="24"/>
          <w:szCs w:val="24"/>
        </w:rPr>
        <w:t>KTEA-II Comprehensive (50-85 minutes, depending on grade level); PreK-K: 30 mins, Gr 1-2: 50 mins, Gr 3-5: 75 mins, Gr 6+: 85 mins</w:t>
      </w:r>
      <w:r w:rsidRPr="00314652">
        <w:rPr>
          <w:rFonts w:ascii="Times New Roman" w:hAnsi="Times New Roman"/>
          <w:sz w:val="24"/>
          <w:szCs w:val="24"/>
        </w:rPr>
        <w:br/>
      </w:r>
      <w:r w:rsidRPr="00314652">
        <w:rPr>
          <w:rFonts w:ascii="Verdana" w:hAnsi="Verdana"/>
          <w:sz w:val="24"/>
          <w:szCs w:val="24"/>
        </w:rPr>
        <w:t>KTEA Brief (10-40 minutes, depending on grade level); Gr 1: 10-20 mins, Gr 2: 15-25 mins, Gr 3: 25-35 mins, Gr 4-8: 30-40 mins, Gr 9-12: 25-35 mins.</w:t>
      </w:r>
      <w:r w:rsidRPr="00314652">
        <w:rPr>
          <w:rFonts w:ascii="Times New Roman" w:hAnsi="Times New Roman"/>
          <w:sz w:val="24"/>
          <w:szCs w:val="24"/>
        </w:rPr>
        <w:br/>
        <w:t> </w:t>
      </w:r>
      <w:r w:rsidRPr="00314652">
        <w:rPr>
          <w:rFonts w:ascii="Times New Roman" w:hAnsi="Times New Roman"/>
          <w:sz w:val="24"/>
          <w:szCs w:val="24"/>
        </w:rPr>
        <w:br/>
      </w:r>
      <w:r w:rsidRPr="00314652">
        <w:rPr>
          <w:rFonts w:ascii="Verdana" w:hAnsi="Verdana"/>
          <w:b/>
          <w:sz w:val="24"/>
          <w:szCs w:val="24"/>
          <w:u w:val="single"/>
        </w:rPr>
        <w:t>Examinee Considerations</w:t>
      </w:r>
      <w:r w:rsidRPr="00314652">
        <w:rPr>
          <w:rFonts w:ascii="Times New Roman" w:hAnsi="Times New Roman"/>
          <w:b/>
          <w:sz w:val="24"/>
          <w:szCs w:val="24"/>
        </w:rPr>
        <w:br/>
      </w:r>
      <w:r w:rsidRPr="00314652">
        <w:rPr>
          <w:rFonts w:ascii="Times New Roman" w:hAnsi="Times New Roman"/>
          <w:sz w:val="24"/>
          <w:szCs w:val="24"/>
        </w:rPr>
        <w:br/>
      </w:r>
      <w:r w:rsidRPr="00314652">
        <w:rPr>
          <w:rFonts w:ascii="Verdana" w:hAnsi="Verdana"/>
          <w:sz w:val="24"/>
          <w:szCs w:val="24"/>
        </w:rPr>
        <w:t>1. Examinee prerequisite skills: </w:t>
      </w:r>
      <w:r w:rsidRPr="00314652">
        <w:rPr>
          <w:rFonts w:ascii="Times New Roman" w:hAnsi="Times New Roman"/>
          <w:sz w:val="24"/>
          <w:szCs w:val="24"/>
        </w:rPr>
        <w:br/>
      </w:r>
      <w:r w:rsidRPr="00314652">
        <w:rPr>
          <w:rFonts w:ascii="Verdana" w:hAnsi="Verdana"/>
          <w:sz w:val="24"/>
          <w:szCs w:val="24"/>
        </w:rPr>
        <w:t>- Test item presentation and response are visual and verbal with limited writing (with certain allowances for students with special needs/learning challenges). </w:t>
      </w:r>
      <w:r w:rsidRPr="00314652">
        <w:rPr>
          <w:rFonts w:ascii="Times New Roman" w:hAnsi="Times New Roman"/>
          <w:sz w:val="24"/>
          <w:szCs w:val="24"/>
        </w:rPr>
        <w:br/>
      </w:r>
      <w:r w:rsidRPr="00314652">
        <w:rPr>
          <w:rFonts w:ascii="Verdana" w:hAnsi="Verdana"/>
          <w:sz w:val="24"/>
          <w:szCs w:val="24"/>
        </w:rPr>
        <w:t>- Good for all ages, grades &amp; abilities.</w:t>
      </w:r>
      <w:r w:rsidRPr="00314652">
        <w:rPr>
          <w:rFonts w:ascii="Times New Roman" w:hAnsi="Times New Roman"/>
          <w:sz w:val="24"/>
          <w:szCs w:val="24"/>
        </w:rPr>
        <w:br/>
      </w:r>
      <w:r w:rsidRPr="00314652">
        <w:rPr>
          <w:rFonts w:ascii="Verdana" w:hAnsi="Verdana"/>
          <w:sz w:val="24"/>
          <w:szCs w:val="24"/>
        </w:rPr>
        <w:t>- Especially beneficial for slow starters or learning/reading disabilities</w:t>
      </w:r>
      <w:r w:rsidRPr="00314652">
        <w:rPr>
          <w:rFonts w:ascii="Times New Roman" w:hAnsi="Times New Roman"/>
          <w:sz w:val="24"/>
          <w:szCs w:val="24"/>
        </w:rPr>
        <w:br/>
      </w:r>
      <w:r w:rsidRPr="00314652">
        <w:rPr>
          <w:rFonts w:ascii="Times New Roman" w:hAnsi="Times New Roman"/>
          <w:sz w:val="24"/>
          <w:szCs w:val="24"/>
        </w:rPr>
        <w:br/>
      </w:r>
      <w:r w:rsidRPr="00314652">
        <w:rPr>
          <w:rFonts w:ascii="Verdana" w:hAnsi="Verdana"/>
          <w:sz w:val="24"/>
          <w:szCs w:val="24"/>
        </w:rPr>
        <w:t>2. Item presentation: </w:t>
      </w:r>
      <w:r w:rsidRPr="00314652">
        <w:rPr>
          <w:rFonts w:ascii="Times New Roman" w:hAnsi="Times New Roman"/>
          <w:sz w:val="24"/>
          <w:szCs w:val="24"/>
        </w:rPr>
        <w:br/>
      </w:r>
      <w:r w:rsidRPr="00314652">
        <w:rPr>
          <w:rFonts w:ascii="Verdana" w:hAnsi="Verdana"/>
          <w:sz w:val="24"/>
          <w:szCs w:val="24"/>
        </w:rPr>
        <w:t>- 2 Easels (14 subtests)</w:t>
      </w:r>
      <w:r w:rsidRPr="00314652">
        <w:rPr>
          <w:rFonts w:ascii="Times New Roman" w:hAnsi="Times New Roman"/>
          <w:sz w:val="24"/>
          <w:szCs w:val="24"/>
        </w:rPr>
        <w:br/>
      </w:r>
      <w:r w:rsidRPr="00314652">
        <w:rPr>
          <w:rFonts w:ascii="Verdana" w:hAnsi="Verdana"/>
          <w:sz w:val="24"/>
          <w:szCs w:val="24"/>
        </w:rPr>
        <w:t>- Student Response Booklet </w:t>
      </w:r>
      <w:r w:rsidRPr="00314652">
        <w:rPr>
          <w:rFonts w:ascii="Times New Roman" w:hAnsi="Times New Roman"/>
          <w:sz w:val="24"/>
          <w:szCs w:val="24"/>
        </w:rPr>
        <w:br/>
      </w:r>
      <w:r w:rsidRPr="00314652">
        <w:rPr>
          <w:rFonts w:ascii="Verdana" w:hAnsi="Verdana"/>
          <w:sz w:val="24"/>
          <w:szCs w:val="24"/>
        </w:rPr>
        <w:t>- Written Expression Booklet</w:t>
      </w:r>
      <w:r w:rsidRPr="00314652">
        <w:rPr>
          <w:rFonts w:ascii="Times New Roman" w:hAnsi="Times New Roman"/>
          <w:sz w:val="24"/>
          <w:szCs w:val="24"/>
        </w:rPr>
        <w:br/>
      </w:r>
      <w:r w:rsidRPr="00314652">
        <w:rPr>
          <w:rFonts w:ascii="Verdana" w:hAnsi="Verdana"/>
          <w:sz w:val="24"/>
          <w:szCs w:val="24"/>
        </w:rPr>
        <w:t>- Administration CD</w:t>
      </w:r>
      <w:r w:rsidRPr="00314652">
        <w:rPr>
          <w:rFonts w:ascii="Times New Roman" w:hAnsi="Times New Roman"/>
          <w:sz w:val="24"/>
          <w:szCs w:val="24"/>
        </w:rPr>
        <w:br/>
      </w:r>
      <w:r w:rsidRPr="00314652">
        <w:rPr>
          <w:rFonts w:ascii="Verdana" w:hAnsi="Verdana"/>
          <w:sz w:val="24"/>
          <w:szCs w:val="24"/>
        </w:rPr>
        <w:t>- Pepper (puppet)</w:t>
      </w:r>
      <w:r w:rsidRPr="00314652">
        <w:rPr>
          <w:rFonts w:ascii="Times New Roman" w:hAnsi="Times New Roman"/>
          <w:sz w:val="24"/>
          <w:szCs w:val="24"/>
        </w:rPr>
        <w:br/>
      </w:r>
      <w:r w:rsidRPr="00314652">
        <w:rPr>
          <w:rFonts w:ascii="Verdana" w:hAnsi="Verdana"/>
          <w:sz w:val="24"/>
          <w:szCs w:val="24"/>
        </w:rPr>
        <w:t>- Stimulus cards </w:t>
      </w:r>
      <w:r w:rsidRPr="00314652">
        <w:rPr>
          <w:rFonts w:ascii="Times New Roman" w:hAnsi="Times New Roman"/>
          <w:sz w:val="24"/>
          <w:szCs w:val="24"/>
        </w:rPr>
        <w:br/>
      </w:r>
      <w:r w:rsidRPr="00314652">
        <w:rPr>
          <w:rFonts w:ascii="Verdana" w:hAnsi="Verdana"/>
          <w:sz w:val="24"/>
          <w:szCs w:val="24"/>
        </w:rPr>
        <w:t>- Object, Colour &amp; Letter cards </w:t>
      </w:r>
      <w:r w:rsidRPr="00314652">
        <w:rPr>
          <w:rFonts w:ascii="Times New Roman" w:hAnsi="Times New Roman"/>
          <w:sz w:val="24"/>
          <w:szCs w:val="24"/>
        </w:rPr>
        <w:br/>
      </w:r>
      <w:r w:rsidRPr="00314652">
        <w:rPr>
          <w:rFonts w:ascii="Verdana" w:hAnsi="Verdana"/>
          <w:sz w:val="24"/>
          <w:szCs w:val="24"/>
        </w:rPr>
        <w:t>3. Item response:</w:t>
      </w:r>
      <w:r w:rsidRPr="00314652">
        <w:rPr>
          <w:rFonts w:ascii="Times New Roman" w:hAnsi="Times New Roman"/>
          <w:sz w:val="24"/>
          <w:szCs w:val="24"/>
        </w:rPr>
        <w:br/>
      </w:r>
      <w:r w:rsidRPr="00314652">
        <w:rPr>
          <w:rFonts w:ascii="Verdana" w:hAnsi="Verdana"/>
          <w:sz w:val="24"/>
          <w:szCs w:val="24"/>
        </w:rPr>
        <w:t>- oral response</w:t>
      </w:r>
      <w:r w:rsidRPr="00314652">
        <w:rPr>
          <w:rFonts w:ascii="Times New Roman" w:hAnsi="Times New Roman"/>
          <w:sz w:val="24"/>
          <w:szCs w:val="24"/>
        </w:rPr>
        <w:br/>
      </w:r>
      <w:r w:rsidRPr="00314652">
        <w:rPr>
          <w:rFonts w:ascii="Verdana" w:hAnsi="Verdana"/>
          <w:sz w:val="24"/>
          <w:szCs w:val="24"/>
        </w:rPr>
        <w:t>- pointing to response on easel</w:t>
      </w:r>
      <w:r w:rsidRPr="00314652">
        <w:rPr>
          <w:rFonts w:ascii="Times New Roman" w:hAnsi="Times New Roman"/>
          <w:sz w:val="24"/>
          <w:szCs w:val="24"/>
        </w:rPr>
        <w:br/>
      </w:r>
      <w:r w:rsidRPr="00314652">
        <w:rPr>
          <w:rFonts w:ascii="Verdana" w:hAnsi="Verdana"/>
          <w:sz w:val="24"/>
          <w:szCs w:val="24"/>
        </w:rPr>
        <w:t>- written response</w:t>
      </w:r>
      <w:r w:rsidRPr="00314652">
        <w:rPr>
          <w:rFonts w:ascii="Times New Roman" w:hAnsi="Times New Roman"/>
          <w:sz w:val="24"/>
          <w:szCs w:val="24"/>
        </w:rPr>
        <w:br/>
      </w:r>
      <w:r w:rsidRPr="00314652">
        <w:rPr>
          <w:rFonts w:ascii="Verdana" w:hAnsi="Verdana"/>
          <w:sz w:val="24"/>
          <w:szCs w:val="24"/>
        </w:rPr>
        <w:t>- read test items and respond orally</w:t>
      </w:r>
      <w:r w:rsidRPr="00314652">
        <w:rPr>
          <w:rFonts w:ascii="Times New Roman" w:hAnsi="Times New Roman"/>
          <w:sz w:val="24"/>
          <w:szCs w:val="24"/>
        </w:rPr>
        <w:br/>
      </w:r>
      <w:r w:rsidRPr="00314652">
        <w:rPr>
          <w:rFonts w:ascii="Times New Roman" w:hAnsi="Times New Roman"/>
          <w:sz w:val="24"/>
          <w:szCs w:val="24"/>
        </w:rPr>
        <w:br/>
      </w:r>
      <w:r w:rsidRPr="00314652">
        <w:rPr>
          <w:rFonts w:ascii="Verdana" w:hAnsi="Verdana"/>
          <w:sz w:val="24"/>
          <w:szCs w:val="24"/>
        </w:rPr>
        <w:t>4. Interesting test items: </w:t>
      </w:r>
      <w:r w:rsidRPr="00314652">
        <w:rPr>
          <w:rFonts w:ascii="Times New Roman" w:hAnsi="Times New Roman"/>
          <w:sz w:val="24"/>
          <w:szCs w:val="24"/>
        </w:rPr>
        <w:br/>
      </w:r>
      <w:r w:rsidRPr="00314652">
        <w:rPr>
          <w:rFonts w:ascii="Verdana" w:hAnsi="Verdana"/>
          <w:sz w:val="24"/>
          <w:szCs w:val="24"/>
        </w:rPr>
        <w:t>- puppets!</w:t>
      </w:r>
      <w:r w:rsidRPr="00314652">
        <w:rPr>
          <w:rFonts w:ascii="Times New Roman" w:hAnsi="Times New Roman"/>
          <w:sz w:val="24"/>
          <w:szCs w:val="24"/>
        </w:rPr>
        <w:br/>
      </w:r>
      <w:r w:rsidRPr="00314652">
        <w:rPr>
          <w:rFonts w:ascii="Verdana" w:hAnsi="Verdana"/>
          <w:sz w:val="24"/>
          <w:szCs w:val="24"/>
        </w:rPr>
        <w:t>- Colorful art and novel approaches to the assessment of several skills are designed to encourage the student's best efforts. </w:t>
      </w:r>
      <w:r w:rsidRPr="00314652">
        <w:rPr>
          <w:rFonts w:ascii="Times New Roman" w:hAnsi="Times New Roman"/>
          <w:sz w:val="24"/>
          <w:szCs w:val="24"/>
        </w:rPr>
        <w:br/>
      </w:r>
      <w:r w:rsidRPr="00314652">
        <w:rPr>
          <w:rFonts w:ascii="Times New Roman" w:hAnsi="Times New Roman"/>
          <w:sz w:val="24"/>
          <w:szCs w:val="24"/>
        </w:rPr>
        <w:br/>
      </w:r>
      <w:r w:rsidRPr="00314652">
        <w:rPr>
          <w:rFonts w:ascii="Verdana" w:hAnsi="Verdana"/>
          <w:b/>
          <w:sz w:val="24"/>
          <w:szCs w:val="24"/>
          <w:u w:val="single"/>
        </w:rPr>
        <w:t>Reliability and Validity</w:t>
      </w:r>
      <w:r w:rsidRPr="00314652">
        <w:rPr>
          <w:rFonts w:ascii="Times New Roman" w:hAnsi="Times New Roman"/>
          <w:sz w:val="24"/>
          <w:szCs w:val="24"/>
        </w:rPr>
        <w:br/>
      </w:r>
      <w:r w:rsidRPr="00314652">
        <w:rPr>
          <w:rFonts w:ascii="Times New Roman" w:hAnsi="Times New Roman"/>
          <w:sz w:val="24"/>
          <w:szCs w:val="24"/>
        </w:rPr>
        <w:br/>
      </w:r>
      <w:r w:rsidRPr="00314652">
        <w:rPr>
          <w:rFonts w:ascii="Verdana" w:hAnsi="Verdana"/>
          <w:sz w:val="24"/>
          <w:szCs w:val="24"/>
        </w:rPr>
        <w:t>- Overall reliability coefficient reported at 0.87 to 0.95</w:t>
      </w:r>
    </w:p>
    <w:p w:rsidR="001A0BC3" w:rsidRPr="00314652" w:rsidRDefault="001A0BC3" w:rsidP="00314652">
      <w:pPr>
        <w:spacing w:after="0" w:line="240" w:lineRule="auto"/>
        <w:rPr>
          <w:rFonts w:ascii="Times New Roman" w:hAnsi="Times New Roman"/>
          <w:sz w:val="24"/>
          <w:szCs w:val="24"/>
        </w:rPr>
      </w:pPr>
      <w:r>
        <w:rPr>
          <w:rFonts w:ascii="Verdana" w:hAnsi="Verdana"/>
          <w:sz w:val="24"/>
          <w:szCs w:val="24"/>
        </w:rPr>
        <w:t>-I</w:t>
      </w:r>
      <w:r w:rsidRPr="00314652">
        <w:rPr>
          <w:rFonts w:ascii="Verdana" w:hAnsi="Verdana"/>
          <w:sz w:val="24"/>
          <w:szCs w:val="24"/>
        </w:rPr>
        <w:t>nternal reliability coefficients ranged from 0.77 to 0.85</w:t>
      </w:r>
    </w:p>
    <w:p w:rsidR="001A0BC3" w:rsidRPr="00314652" w:rsidRDefault="001A0BC3" w:rsidP="00314652">
      <w:pPr>
        <w:spacing w:after="240" w:line="240" w:lineRule="auto"/>
        <w:rPr>
          <w:rFonts w:ascii="Times New Roman" w:hAnsi="Times New Roman"/>
          <w:sz w:val="24"/>
          <w:szCs w:val="24"/>
        </w:rPr>
      </w:pPr>
      <w:r w:rsidRPr="00314652">
        <w:rPr>
          <w:rFonts w:ascii="Verdana" w:hAnsi="Verdana"/>
          <w:sz w:val="24"/>
          <w:szCs w:val="24"/>
        </w:rPr>
        <w:t>- correlated well with the Wide Range Achievement, the Peabody Individual Achievement Test, the Metropolitan Achievement Test, the Standford Achievement Test, and the K-ABC with correlation ratings from .75 to 0.86.</w:t>
      </w:r>
      <w:r w:rsidRPr="00314652">
        <w:rPr>
          <w:rFonts w:ascii="Times New Roman" w:hAnsi="Times New Roman"/>
          <w:sz w:val="24"/>
          <w:szCs w:val="24"/>
        </w:rPr>
        <w:br/>
      </w:r>
    </w:p>
    <w:p w:rsidR="001A0BC3" w:rsidRPr="00314652" w:rsidRDefault="001A0BC3" w:rsidP="00314652">
      <w:pPr>
        <w:spacing w:after="0" w:line="240" w:lineRule="auto"/>
        <w:rPr>
          <w:rFonts w:ascii="Times New Roman" w:hAnsi="Times New Roman"/>
          <w:b/>
          <w:sz w:val="24"/>
          <w:szCs w:val="24"/>
        </w:rPr>
      </w:pPr>
      <w:r w:rsidRPr="00314652">
        <w:rPr>
          <w:rFonts w:ascii="Verdana" w:hAnsi="Verdana"/>
          <w:b/>
          <w:sz w:val="24"/>
          <w:szCs w:val="24"/>
          <w:u w:val="single"/>
        </w:rPr>
        <w:t>Scoring Procedures</w:t>
      </w:r>
    </w:p>
    <w:p w:rsidR="001A0BC3" w:rsidRPr="00314652" w:rsidRDefault="001A0BC3" w:rsidP="00314652">
      <w:pPr>
        <w:spacing w:after="0" w:line="240" w:lineRule="auto"/>
        <w:rPr>
          <w:rFonts w:ascii="Times New Roman" w:hAnsi="Times New Roman"/>
          <w:sz w:val="24"/>
          <w:szCs w:val="24"/>
        </w:rPr>
      </w:pPr>
      <w:r w:rsidRPr="00314652">
        <w:rPr>
          <w:rFonts w:ascii="Verdana" w:hAnsi="Verdana"/>
          <w:sz w:val="24"/>
          <w:szCs w:val="24"/>
        </w:rPr>
        <w:t>- You must find out the student’s age and grade to decide where to begin each subtest</w:t>
      </w:r>
    </w:p>
    <w:p w:rsidR="001A0BC3" w:rsidRPr="00314652" w:rsidRDefault="001A0BC3" w:rsidP="00314652">
      <w:pPr>
        <w:spacing w:after="0" w:line="240" w:lineRule="auto"/>
        <w:rPr>
          <w:rFonts w:ascii="Times New Roman" w:hAnsi="Times New Roman"/>
          <w:sz w:val="24"/>
          <w:szCs w:val="24"/>
        </w:rPr>
      </w:pPr>
      <w:r w:rsidRPr="00314652">
        <w:rPr>
          <w:rFonts w:ascii="Verdana" w:hAnsi="Verdana"/>
          <w:b/>
          <w:bCs/>
          <w:sz w:val="24"/>
          <w:szCs w:val="24"/>
        </w:rPr>
        <w:t xml:space="preserve">- </w:t>
      </w:r>
      <w:r w:rsidRPr="00314652">
        <w:rPr>
          <w:rFonts w:ascii="Verdana" w:hAnsi="Verdana"/>
          <w:bCs/>
          <w:sz w:val="24"/>
          <w:szCs w:val="24"/>
        </w:rPr>
        <w:t xml:space="preserve">Subtract </w:t>
      </w:r>
      <w:r w:rsidRPr="00314652">
        <w:rPr>
          <w:rFonts w:ascii="Verdana" w:hAnsi="Verdana"/>
          <w:sz w:val="24"/>
          <w:szCs w:val="24"/>
        </w:rPr>
        <w:t>the birth date from the test date to obtain the student’s age in years and months</w:t>
      </w:r>
    </w:p>
    <w:p w:rsidR="001A0BC3" w:rsidRPr="00314652" w:rsidRDefault="001A0BC3" w:rsidP="00314652">
      <w:pPr>
        <w:spacing w:after="0" w:line="240" w:lineRule="auto"/>
        <w:rPr>
          <w:rFonts w:ascii="Times New Roman" w:hAnsi="Times New Roman"/>
          <w:sz w:val="24"/>
          <w:szCs w:val="24"/>
        </w:rPr>
      </w:pPr>
      <w:r w:rsidRPr="00314652">
        <w:rPr>
          <w:rFonts w:ascii="Verdana" w:hAnsi="Verdana"/>
          <w:sz w:val="24"/>
          <w:szCs w:val="24"/>
        </w:rPr>
        <w:t xml:space="preserve">- Before using the Norms tables, you must </w:t>
      </w:r>
      <w:r w:rsidRPr="00314652">
        <w:rPr>
          <w:rFonts w:ascii="Verdana" w:hAnsi="Verdana"/>
          <w:b/>
          <w:bCs/>
          <w:sz w:val="24"/>
          <w:szCs w:val="24"/>
        </w:rPr>
        <w:t xml:space="preserve">decide </w:t>
      </w:r>
      <w:r w:rsidRPr="00314652">
        <w:rPr>
          <w:rFonts w:ascii="Verdana" w:hAnsi="Verdana"/>
          <w:sz w:val="24"/>
          <w:szCs w:val="24"/>
        </w:rPr>
        <w:t>if you are using</w:t>
      </w:r>
      <w:r w:rsidRPr="00314652">
        <w:rPr>
          <w:rFonts w:ascii="Verdana" w:hAnsi="Verdana"/>
          <w:b/>
          <w:bCs/>
          <w:sz w:val="24"/>
          <w:szCs w:val="24"/>
        </w:rPr>
        <w:t xml:space="preserve"> age-based </w:t>
      </w:r>
      <w:r w:rsidRPr="00314652">
        <w:rPr>
          <w:rFonts w:ascii="Verdana" w:hAnsi="Verdana"/>
          <w:sz w:val="24"/>
          <w:szCs w:val="24"/>
        </w:rPr>
        <w:t>or</w:t>
      </w:r>
      <w:r w:rsidRPr="00314652">
        <w:rPr>
          <w:rFonts w:ascii="Verdana" w:hAnsi="Verdana"/>
          <w:b/>
          <w:bCs/>
          <w:sz w:val="24"/>
          <w:szCs w:val="24"/>
        </w:rPr>
        <w:t xml:space="preserve"> grade-based norms</w:t>
      </w:r>
    </w:p>
    <w:p w:rsidR="001A0BC3" w:rsidRPr="00314652" w:rsidRDefault="001A0BC3" w:rsidP="00314652">
      <w:pPr>
        <w:spacing w:after="0" w:line="240" w:lineRule="auto"/>
        <w:rPr>
          <w:rFonts w:ascii="Times New Roman" w:hAnsi="Times New Roman"/>
          <w:sz w:val="24"/>
          <w:szCs w:val="24"/>
        </w:rPr>
      </w:pPr>
      <w:r w:rsidRPr="00314652">
        <w:rPr>
          <w:rFonts w:ascii="Verdana" w:hAnsi="Verdana"/>
          <w:b/>
          <w:bCs/>
          <w:sz w:val="24"/>
          <w:szCs w:val="24"/>
          <w:u w:val="single"/>
        </w:rPr>
        <w:t>STEP 1</w:t>
      </w:r>
      <w:r w:rsidRPr="00314652">
        <w:rPr>
          <w:rFonts w:ascii="Verdana" w:hAnsi="Verdana"/>
          <w:b/>
          <w:bCs/>
          <w:sz w:val="24"/>
          <w:szCs w:val="24"/>
        </w:rPr>
        <w:t>: Getting subtest standard scores</w:t>
      </w:r>
    </w:p>
    <w:p w:rsidR="001A0BC3" w:rsidRPr="00314652" w:rsidRDefault="001A0BC3" w:rsidP="00314652">
      <w:pPr>
        <w:spacing w:after="0" w:line="240" w:lineRule="auto"/>
        <w:rPr>
          <w:rFonts w:ascii="Times New Roman" w:hAnsi="Times New Roman"/>
          <w:sz w:val="24"/>
          <w:szCs w:val="24"/>
        </w:rPr>
      </w:pPr>
      <w:r w:rsidRPr="00314652">
        <w:rPr>
          <w:rFonts w:ascii="Verdana" w:hAnsi="Verdana"/>
          <w:sz w:val="24"/>
          <w:szCs w:val="24"/>
        </w:rPr>
        <w:t xml:space="preserve">Standard scores corresponding to the </w:t>
      </w:r>
      <w:r w:rsidRPr="00314652">
        <w:rPr>
          <w:rFonts w:ascii="Verdana" w:hAnsi="Verdana"/>
          <w:b/>
          <w:bCs/>
          <w:i/>
          <w:iCs/>
          <w:sz w:val="24"/>
          <w:szCs w:val="24"/>
        </w:rPr>
        <w:t>raw score</w:t>
      </w:r>
      <w:r w:rsidRPr="00314652">
        <w:rPr>
          <w:rFonts w:ascii="Verdana" w:hAnsi="Verdana"/>
          <w:sz w:val="24"/>
          <w:szCs w:val="24"/>
        </w:rPr>
        <w:t xml:space="preserve"> for a test are provided for age-based as well as grade-based.  Find the raw score in the column for Form A or B of the subtest and record the stand score across the table. </w:t>
      </w:r>
    </w:p>
    <w:p w:rsidR="001A0BC3" w:rsidRPr="00314652" w:rsidRDefault="001A0BC3" w:rsidP="00314652">
      <w:pPr>
        <w:spacing w:after="0" w:line="240" w:lineRule="auto"/>
        <w:rPr>
          <w:rFonts w:ascii="Times New Roman" w:hAnsi="Times New Roman"/>
          <w:sz w:val="24"/>
          <w:szCs w:val="24"/>
        </w:rPr>
      </w:pPr>
      <w:r w:rsidRPr="00314652">
        <w:rPr>
          <w:rFonts w:ascii="Verdana" w:hAnsi="Verdana"/>
          <w:b/>
          <w:bCs/>
          <w:sz w:val="24"/>
          <w:szCs w:val="24"/>
          <w:u w:val="single"/>
        </w:rPr>
        <w:t>STEP 2:</w:t>
      </w:r>
      <w:r w:rsidRPr="00314652">
        <w:rPr>
          <w:rFonts w:ascii="Times New Roman" w:hAnsi="Times New Roman"/>
          <w:sz w:val="24"/>
          <w:szCs w:val="24"/>
        </w:rPr>
        <w:t xml:space="preserve"> </w:t>
      </w:r>
      <w:r w:rsidRPr="00314652">
        <w:rPr>
          <w:rFonts w:ascii="Verdana" w:hAnsi="Verdana"/>
          <w:b/>
          <w:bCs/>
          <w:sz w:val="24"/>
          <w:szCs w:val="24"/>
        </w:rPr>
        <w:t>Finding the composite Standard Score</w:t>
      </w:r>
    </w:p>
    <w:p w:rsidR="001A0BC3" w:rsidRPr="00314652" w:rsidRDefault="001A0BC3" w:rsidP="00314652">
      <w:pPr>
        <w:spacing w:after="0" w:line="240" w:lineRule="auto"/>
        <w:rPr>
          <w:rFonts w:ascii="Times New Roman" w:hAnsi="Times New Roman"/>
          <w:sz w:val="24"/>
          <w:szCs w:val="24"/>
        </w:rPr>
      </w:pPr>
      <w:r w:rsidRPr="00314652">
        <w:rPr>
          <w:rFonts w:ascii="Verdana" w:hAnsi="Verdana"/>
          <w:sz w:val="24"/>
          <w:szCs w:val="24"/>
        </w:rPr>
        <w:t xml:space="preserve">Add the standard scores for both tests, for example, add the scores for Letter and Word Recognition with Reading Comprehension to find the </w:t>
      </w:r>
      <w:r w:rsidRPr="00314652">
        <w:rPr>
          <w:rFonts w:ascii="Verdana" w:hAnsi="Verdana"/>
          <w:sz w:val="24"/>
          <w:szCs w:val="24"/>
          <w:u w:val="single"/>
        </w:rPr>
        <w:t>sum of subtest standard scores</w:t>
      </w:r>
      <w:r w:rsidRPr="00314652">
        <w:rPr>
          <w:rFonts w:ascii="Verdana" w:hAnsi="Verdana"/>
          <w:sz w:val="24"/>
          <w:szCs w:val="24"/>
        </w:rPr>
        <w:t>. Enter that next to “SUM.” Then go to the norms table and look up COMPOSITE scores.</w:t>
      </w:r>
    </w:p>
    <w:p w:rsidR="001A0BC3" w:rsidRPr="00314652" w:rsidRDefault="001A0BC3" w:rsidP="00314652">
      <w:pPr>
        <w:spacing w:after="0" w:line="240" w:lineRule="auto"/>
        <w:rPr>
          <w:rFonts w:ascii="Times New Roman" w:hAnsi="Times New Roman"/>
          <w:sz w:val="24"/>
          <w:szCs w:val="24"/>
        </w:rPr>
      </w:pPr>
      <w:r w:rsidRPr="00314652">
        <w:rPr>
          <w:rFonts w:ascii="Verdana" w:hAnsi="Verdana"/>
          <w:b/>
          <w:bCs/>
          <w:sz w:val="24"/>
          <w:szCs w:val="24"/>
          <w:u w:val="single"/>
        </w:rPr>
        <w:t>STEP 3</w:t>
      </w:r>
      <w:r w:rsidRPr="00314652">
        <w:rPr>
          <w:rFonts w:ascii="Verdana" w:hAnsi="Verdana"/>
          <w:b/>
          <w:bCs/>
          <w:sz w:val="24"/>
          <w:szCs w:val="24"/>
        </w:rPr>
        <w:t>: Band of error</w:t>
      </w:r>
    </w:p>
    <w:p w:rsidR="001A0BC3" w:rsidRPr="00314652" w:rsidRDefault="001A0BC3" w:rsidP="00314652">
      <w:pPr>
        <w:spacing w:after="0" w:line="240" w:lineRule="auto"/>
        <w:rPr>
          <w:rFonts w:ascii="Times New Roman" w:hAnsi="Times New Roman"/>
          <w:sz w:val="24"/>
          <w:szCs w:val="24"/>
        </w:rPr>
      </w:pPr>
      <w:r w:rsidRPr="00314652">
        <w:rPr>
          <w:rFonts w:ascii="Verdana" w:hAnsi="Verdana"/>
          <w:sz w:val="24"/>
          <w:szCs w:val="24"/>
        </w:rPr>
        <w:t>Confidence-likely to be 85%, 90% or 95%</w:t>
      </w:r>
    </w:p>
    <w:p w:rsidR="001A0BC3" w:rsidRPr="00314652" w:rsidRDefault="001A0BC3" w:rsidP="00314652">
      <w:pPr>
        <w:spacing w:after="0" w:line="240" w:lineRule="auto"/>
        <w:rPr>
          <w:rFonts w:ascii="Times New Roman" w:hAnsi="Times New Roman"/>
          <w:sz w:val="24"/>
          <w:szCs w:val="24"/>
        </w:rPr>
      </w:pPr>
      <w:r w:rsidRPr="00314652">
        <w:rPr>
          <w:rFonts w:ascii="Verdana" w:hAnsi="Verdana"/>
          <w:sz w:val="24"/>
          <w:szCs w:val="24"/>
        </w:rPr>
        <w:t xml:space="preserve">For each test, check the band of error. Then subtract that value from the </w:t>
      </w:r>
      <w:r w:rsidRPr="00314652">
        <w:rPr>
          <w:rFonts w:ascii="Verdana" w:hAnsi="Verdana"/>
          <w:b/>
          <w:bCs/>
          <w:sz w:val="24"/>
          <w:szCs w:val="24"/>
        </w:rPr>
        <w:t>composite standard score for the lowest</w:t>
      </w:r>
      <w:r w:rsidRPr="00314652">
        <w:rPr>
          <w:rFonts w:ascii="Verdana" w:hAnsi="Verdana"/>
          <w:sz w:val="24"/>
          <w:szCs w:val="24"/>
        </w:rPr>
        <w:t xml:space="preserve"> end and add the band of error to the composite standard score for the </w:t>
      </w:r>
      <w:r w:rsidRPr="00314652">
        <w:rPr>
          <w:rFonts w:ascii="Verdana" w:hAnsi="Verdana"/>
          <w:b/>
          <w:bCs/>
          <w:sz w:val="24"/>
          <w:szCs w:val="24"/>
        </w:rPr>
        <w:t>higher end</w:t>
      </w:r>
      <w:r w:rsidRPr="00314652">
        <w:rPr>
          <w:rFonts w:ascii="Verdana" w:hAnsi="Verdana"/>
          <w:sz w:val="24"/>
          <w:szCs w:val="24"/>
        </w:rPr>
        <w:t xml:space="preserve">. </w:t>
      </w:r>
    </w:p>
    <w:p w:rsidR="001A0BC3" w:rsidRPr="00314652" w:rsidRDefault="001A0BC3" w:rsidP="00314652">
      <w:pPr>
        <w:spacing w:after="0" w:line="240" w:lineRule="auto"/>
        <w:rPr>
          <w:rFonts w:ascii="Times New Roman" w:hAnsi="Times New Roman"/>
          <w:sz w:val="24"/>
          <w:szCs w:val="24"/>
        </w:rPr>
      </w:pPr>
      <w:r w:rsidRPr="00314652">
        <w:rPr>
          <w:rFonts w:ascii="Verdana" w:hAnsi="Verdana"/>
          <w:b/>
          <w:bCs/>
          <w:sz w:val="24"/>
          <w:szCs w:val="24"/>
          <w:u w:val="single"/>
        </w:rPr>
        <w:t>STEP 4:</w:t>
      </w:r>
      <w:r w:rsidRPr="00314652">
        <w:rPr>
          <w:rFonts w:ascii="Times New Roman" w:hAnsi="Times New Roman"/>
          <w:sz w:val="24"/>
          <w:szCs w:val="24"/>
        </w:rPr>
        <w:t xml:space="preserve"> </w:t>
      </w:r>
      <w:r w:rsidRPr="00314652">
        <w:rPr>
          <w:rFonts w:ascii="Verdana" w:hAnsi="Verdana"/>
          <w:b/>
          <w:bCs/>
          <w:sz w:val="24"/>
          <w:szCs w:val="24"/>
        </w:rPr>
        <w:t>Percentile Ranks</w:t>
      </w:r>
    </w:p>
    <w:p w:rsidR="001A0BC3" w:rsidRPr="00314652" w:rsidRDefault="001A0BC3" w:rsidP="00314652">
      <w:pPr>
        <w:spacing w:after="0" w:line="240" w:lineRule="auto"/>
        <w:rPr>
          <w:rFonts w:ascii="Times New Roman" w:hAnsi="Times New Roman"/>
          <w:sz w:val="24"/>
          <w:szCs w:val="24"/>
        </w:rPr>
      </w:pPr>
      <w:r w:rsidRPr="00314652">
        <w:rPr>
          <w:rFonts w:ascii="Verdana" w:hAnsi="Verdana"/>
          <w:sz w:val="24"/>
          <w:szCs w:val="24"/>
        </w:rPr>
        <w:t>Refer to table 8 in the Norms book that offers the conversion of standard scores into percentile ranks.</w:t>
      </w:r>
    </w:p>
    <w:p w:rsidR="001A0BC3" w:rsidRPr="00314652" w:rsidRDefault="001A0BC3" w:rsidP="00314652">
      <w:pPr>
        <w:spacing w:after="0" w:line="240" w:lineRule="auto"/>
        <w:rPr>
          <w:rFonts w:ascii="Times New Roman" w:hAnsi="Times New Roman"/>
          <w:sz w:val="24"/>
          <w:szCs w:val="24"/>
        </w:rPr>
      </w:pPr>
      <w:r w:rsidRPr="00314652">
        <w:rPr>
          <w:rFonts w:ascii="Verdana" w:hAnsi="Verdana"/>
          <w:b/>
          <w:bCs/>
          <w:sz w:val="24"/>
          <w:szCs w:val="24"/>
          <w:u w:val="single"/>
        </w:rPr>
        <w:t>STEP 5</w:t>
      </w:r>
      <w:r w:rsidRPr="00314652">
        <w:rPr>
          <w:rFonts w:ascii="Verdana" w:hAnsi="Verdana"/>
          <w:b/>
          <w:bCs/>
          <w:sz w:val="24"/>
          <w:szCs w:val="24"/>
        </w:rPr>
        <w:t>: Grade &amp; Age Equivalents</w:t>
      </w:r>
    </w:p>
    <w:p w:rsidR="001A0BC3" w:rsidRDefault="001A0BC3" w:rsidP="00314652">
      <w:pPr>
        <w:spacing w:after="0" w:line="240" w:lineRule="auto"/>
        <w:rPr>
          <w:rFonts w:ascii="Verdana" w:hAnsi="Verdana"/>
          <w:sz w:val="24"/>
          <w:szCs w:val="24"/>
        </w:rPr>
      </w:pPr>
      <w:r w:rsidRPr="00314652">
        <w:rPr>
          <w:rFonts w:ascii="Verdana" w:hAnsi="Verdana"/>
          <w:sz w:val="24"/>
          <w:szCs w:val="24"/>
        </w:rPr>
        <w:t xml:space="preserve">Raw scores are provided in Table 9 &amp; 10 for each subtest that corresponds to grade equivalents. </w:t>
      </w:r>
    </w:p>
    <w:p w:rsidR="001A0BC3" w:rsidRPr="00314652" w:rsidRDefault="001A0BC3" w:rsidP="00314652">
      <w:pPr>
        <w:spacing w:after="0" w:line="240" w:lineRule="auto"/>
        <w:rPr>
          <w:rFonts w:ascii="Times New Roman" w:hAnsi="Times New Roman"/>
          <w:sz w:val="24"/>
          <w:szCs w:val="24"/>
        </w:rPr>
      </w:pPr>
    </w:p>
    <w:p w:rsidR="001A0BC3" w:rsidRPr="00314652" w:rsidRDefault="001A0BC3" w:rsidP="00314652">
      <w:pPr>
        <w:spacing w:after="0" w:line="240" w:lineRule="auto"/>
        <w:rPr>
          <w:rFonts w:ascii="Times New Roman" w:hAnsi="Times New Roman"/>
          <w:b/>
          <w:sz w:val="24"/>
          <w:szCs w:val="24"/>
        </w:rPr>
      </w:pPr>
      <w:r w:rsidRPr="00314652">
        <w:rPr>
          <w:rFonts w:ascii="Verdana" w:hAnsi="Verdana"/>
          <w:b/>
          <w:sz w:val="24"/>
          <w:szCs w:val="24"/>
          <w:u w:val="single"/>
        </w:rPr>
        <w:t>Reflections</w:t>
      </w:r>
    </w:p>
    <w:p w:rsidR="001A0BC3" w:rsidRPr="00314652" w:rsidRDefault="001A0BC3" w:rsidP="00314652">
      <w:pPr>
        <w:pStyle w:val="ListParagraph"/>
        <w:numPr>
          <w:ilvl w:val="0"/>
          <w:numId w:val="1"/>
        </w:numPr>
        <w:spacing w:after="0" w:line="240" w:lineRule="auto"/>
        <w:rPr>
          <w:rFonts w:ascii="Times New Roman" w:hAnsi="Times New Roman"/>
          <w:sz w:val="24"/>
          <w:szCs w:val="24"/>
        </w:rPr>
      </w:pPr>
      <w:r w:rsidRPr="00314652">
        <w:rPr>
          <w:rFonts w:ascii="Verdana" w:hAnsi="Verdana"/>
          <w:sz w:val="24"/>
          <w:szCs w:val="24"/>
        </w:rPr>
        <w:t>This is a good, and relatively inexpensive test</w:t>
      </w:r>
    </w:p>
    <w:p w:rsidR="001A0BC3" w:rsidRPr="00314652" w:rsidRDefault="001A0BC3" w:rsidP="00314652">
      <w:pPr>
        <w:pStyle w:val="ListParagraph"/>
        <w:numPr>
          <w:ilvl w:val="0"/>
          <w:numId w:val="1"/>
        </w:numPr>
        <w:spacing w:after="0" w:line="240" w:lineRule="auto"/>
        <w:rPr>
          <w:rFonts w:ascii="Times New Roman" w:hAnsi="Times New Roman"/>
          <w:sz w:val="24"/>
          <w:szCs w:val="24"/>
        </w:rPr>
      </w:pPr>
      <w:r w:rsidRPr="00314652">
        <w:rPr>
          <w:rFonts w:ascii="Verdana" w:hAnsi="Verdana"/>
          <w:sz w:val="24"/>
          <w:szCs w:val="24"/>
        </w:rPr>
        <w:t>It seems designed for teachers and people who work in schools, rather than people who are primarily psychologists</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Some criticisms about certain sub-tests - with writing samples, there is a huge emphasis on the mechanics of writing, especially punctuation</w:t>
      </w:r>
      <w:r w:rsidRPr="00314652">
        <w:rPr>
          <w:rFonts w:ascii="Times New Roman" w:hAnsi="Times New Roman"/>
          <w:sz w:val="24"/>
          <w:szCs w:val="24"/>
        </w:rPr>
        <w:t xml:space="preserve">.  </w:t>
      </w:r>
      <w:r w:rsidRPr="00314652">
        <w:rPr>
          <w:rFonts w:ascii="Verdana" w:hAnsi="Verdana"/>
          <w:sz w:val="24"/>
          <w:szCs w:val="24"/>
        </w:rPr>
        <w:t>this means that students can score really low on this section, even if they express themselves well apart from punctuation</w:t>
      </w:r>
      <w:r>
        <w:rPr>
          <w:rFonts w:ascii="Verdana" w:hAnsi="Verdana"/>
          <w:sz w:val="24"/>
          <w:szCs w:val="24"/>
        </w:rPr>
        <w:t>.  E</w:t>
      </w:r>
      <w:r w:rsidRPr="00314652">
        <w:rPr>
          <w:rFonts w:ascii="Verdana" w:hAnsi="Verdana"/>
          <w:sz w:val="24"/>
          <w:szCs w:val="24"/>
        </w:rPr>
        <w:t>ven for children in primary there is a big emphasis on mechanics, which doesn't reflect how writing is generally taught in primary classrooms in BC</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there are plenty of items for each domain</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the oral expression subtest can be hard to mark, as some students will make lengthy responses, and it's hard to know which answer to mark </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American-specific references need to be changed to Canadian (money and measurement)</w:t>
      </w:r>
    </w:p>
    <w:p w:rsidR="001A0BC3" w:rsidRPr="00314652" w:rsidRDefault="001A0BC3" w:rsidP="00314652">
      <w:pPr>
        <w:pStyle w:val="ListParagraph"/>
        <w:numPr>
          <w:ilvl w:val="0"/>
          <w:numId w:val="1"/>
        </w:numPr>
        <w:spacing w:after="0" w:line="240" w:lineRule="auto"/>
        <w:rPr>
          <w:rFonts w:ascii="Verdana" w:hAnsi="Verdana"/>
          <w:sz w:val="24"/>
          <w:szCs w:val="24"/>
        </w:rPr>
      </w:pPr>
      <w:r>
        <w:rPr>
          <w:rFonts w:ascii="Verdana" w:hAnsi="Verdana"/>
          <w:sz w:val="24"/>
          <w:szCs w:val="24"/>
        </w:rPr>
        <w:t>N</w:t>
      </w:r>
      <w:r w:rsidRPr="00314652">
        <w:rPr>
          <w:rFonts w:ascii="Verdana" w:hAnsi="Verdana"/>
          <w:sz w:val="24"/>
          <w:szCs w:val="24"/>
        </w:rPr>
        <w:t>ormed only on American students - not necessarily representative of Canadian students</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band of error high for certain subtests - particularly written expression - + or - 11; this could be a problem as this test is used to decide if students receive adjudication of provincial exams</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inter-rater reliability on writing items is bound to be low, given this</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some schools use the KTEA brief form or subtests: letter &amp; Word recognition; reading comprehension, math concepts and math computations as a screening test for learning assistance</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 xml:space="preserve">students tested in September and again in May to compare their abilities after learning assistance </w:t>
      </w:r>
    </w:p>
    <w:p w:rsidR="001A0BC3" w:rsidRPr="00314652" w:rsidRDefault="001A0BC3" w:rsidP="00314652">
      <w:pPr>
        <w:pStyle w:val="ListParagraph"/>
        <w:numPr>
          <w:ilvl w:val="0"/>
          <w:numId w:val="1"/>
        </w:numPr>
        <w:spacing w:after="0" w:line="240" w:lineRule="auto"/>
        <w:rPr>
          <w:rFonts w:ascii="Verdana" w:hAnsi="Verdana"/>
          <w:sz w:val="24"/>
          <w:szCs w:val="24"/>
        </w:rPr>
      </w:pPr>
      <w:r w:rsidRPr="00314652">
        <w:rPr>
          <w:rFonts w:ascii="Verdana" w:hAnsi="Verdana"/>
          <w:sz w:val="24"/>
          <w:szCs w:val="24"/>
        </w:rPr>
        <w:t>KTEA tends to test high in reading if students have good decoding strategies or reading strategies in the comprehension test</w:t>
      </w:r>
    </w:p>
    <w:p w:rsidR="001A0BC3" w:rsidRPr="00314652" w:rsidRDefault="001A0BC3" w:rsidP="00314652">
      <w:pPr>
        <w:spacing w:after="0" w:line="240" w:lineRule="auto"/>
        <w:rPr>
          <w:rFonts w:ascii="Verdana" w:hAnsi="Verdana"/>
          <w:sz w:val="24"/>
          <w:szCs w:val="24"/>
        </w:rPr>
      </w:pPr>
      <w:r w:rsidRPr="00314652">
        <w:rPr>
          <w:rFonts w:ascii="Verdana" w:hAnsi="Verdana"/>
          <w:b/>
          <w:bCs/>
          <w:sz w:val="24"/>
          <w:szCs w:val="24"/>
        </w:rPr>
        <w:t> </w:t>
      </w:r>
    </w:p>
    <w:p w:rsidR="001A0BC3" w:rsidRDefault="001A0BC3"/>
    <w:sectPr w:rsidR="001A0BC3" w:rsidSect="00666C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090F"/>
    <w:multiLevelType w:val="hybridMultilevel"/>
    <w:tmpl w:val="38C4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652"/>
    <w:rsid w:val="001A0BC3"/>
    <w:rsid w:val="00314652"/>
    <w:rsid w:val="00666C80"/>
    <w:rsid w:val="0076086F"/>
    <w:rsid w:val="0097232C"/>
    <w:rsid w:val="00F5497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C8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14652"/>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314652"/>
    <w:pPr>
      <w:ind w:left="720"/>
      <w:contextualSpacing/>
    </w:pPr>
  </w:style>
</w:styles>
</file>

<file path=word/webSettings.xml><?xml version="1.0" encoding="utf-8"?>
<w:webSettings xmlns:r="http://schemas.openxmlformats.org/officeDocument/2006/relationships" xmlns:w="http://schemas.openxmlformats.org/wordprocessingml/2006/main">
  <w:divs>
    <w:div w:id="1502231185">
      <w:marLeft w:val="0"/>
      <w:marRight w:val="0"/>
      <w:marTop w:val="0"/>
      <w:marBottom w:val="0"/>
      <w:divBdr>
        <w:top w:val="none" w:sz="0" w:space="0" w:color="auto"/>
        <w:left w:val="none" w:sz="0" w:space="0" w:color="auto"/>
        <w:bottom w:val="none" w:sz="0" w:space="0" w:color="auto"/>
        <w:right w:val="none" w:sz="0" w:space="0" w:color="auto"/>
      </w:divBdr>
      <w:divsChild>
        <w:div w:id="1502231197">
          <w:marLeft w:val="0"/>
          <w:marRight w:val="0"/>
          <w:marTop w:val="0"/>
          <w:marBottom w:val="0"/>
          <w:divBdr>
            <w:top w:val="none" w:sz="0" w:space="0" w:color="auto"/>
            <w:left w:val="none" w:sz="0" w:space="0" w:color="auto"/>
            <w:bottom w:val="none" w:sz="0" w:space="0" w:color="auto"/>
            <w:right w:val="none" w:sz="0" w:space="0" w:color="auto"/>
          </w:divBdr>
          <w:divsChild>
            <w:div w:id="1502231177">
              <w:marLeft w:val="0"/>
              <w:marRight w:val="0"/>
              <w:marTop w:val="0"/>
              <w:marBottom w:val="0"/>
              <w:divBdr>
                <w:top w:val="none" w:sz="0" w:space="0" w:color="auto"/>
                <w:left w:val="none" w:sz="0" w:space="0" w:color="auto"/>
                <w:bottom w:val="none" w:sz="0" w:space="0" w:color="auto"/>
                <w:right w:val="none" w:sz="0" w:space="0" w:color="auto"/>
              </w:divBdr>
            </w:div>
            <w:div w:id="1502231178">
              <w:marLeft w:val="0"/>
              <w:marRight w:val="0"/>
              <w:marTop w:val="0"/>
              <w:marBottom w:val="0"/>
              <w:divBdr>
                <w:top w:val="none" w:sz="0" w:space="0" w:color="auto"/>
                <w:left w:val="none" w:sz="0" w:space="0" w:color="auto"/>
                <w:bottom w:val="none" w:sz="0" w:space="0" w:color="auto"/>
                <w:right w:val="none" w:sz="0" w:space="0" w:color="auto"/>
              </w:divBdr>
            </w:div>
            <w:div w:id="1502231179">
              <w:marLeft w:val="0"/>
              <w:marRight w:val="0"/>
              <w:marTop w:val="0"/>
              <w:marBottom w:val="0"/>
              <w:divBdr>
                <w:top w:val="none" w:sz="0" w:space="0" w:color="auto"/>
                <w:left w:val="none" w:sz="0" w:space="0" w:color="auto"/>
                <w:bottom w:val="none" w:sz="0" w:space="0" w:color="auto"/>
                <w:right w:val="none" w:sz="0" w:space="0" w:color="auto"/>
              </w:divBdr>
            </w:div>
            <w:div w:id="1502231180">
              <w:marLeft w:val="0"/>
              <w:marRight w:val="0"/>
              <w:marTop w:val="0"/>
              <w:marBottom w:val="0"/>
              <w:divBdr>
                <w:top w:val="none" w:sz="0" w:space="0" w:color="auto"/>
                <w:left w:val="none" w:sz="0" w:space="0" w:color="auto"/>
                <w:bottom w:val="none" w:sz="0" w:space="0" w:color="auto"/>
                <w:right w:val="none" w:sz="0" w:space="0" w:color="auto"/>
              </w:divBdr>
            </w:div>
            <w:div w:id="1502231181">
              <w:marLeft w:val="0"/>
              <w:marRight w:val="0"/>
              <w:marTop w:val="0"/>
              <w:marBottom w:val="0"/>
              <w:divBdr>
                <w:top w:val="none" w:sz="0" w:space="0" w:color="auto"/>
                <w:left w:val="none" w:sz="0" w:space="0" w:color="auto"/>
                <w:bottom w:val="none" w:sz="0" w:space="0" w:color="auto"/>
                <w:right w:val="none" w:sz="0" w:space="0" w:color="auto"/>
              </w:divBdr>
            </w:div>
            <w:div w:id="1502231182">
              <w:marLeft w:val="0"/>
              <w:marRight w:val="0"/>
              <w:marTop w:val="0"/>
              <w:marBottom w:val="0"/>
              <w:divBdr>
                <w:top w:val="none" w:sz="0" w:space="0" w:color="auto"/>
                <w:left w:val="none" w:sz="0" w:space="0" w:color="auto"/>
                <w:bottom w:val="none" w:sz="0" w:space="0" w:color="auto"/>
                <w:right w:val="none" w:sz="0" w:space="0" w:color="auto"/>
              </w:divBdr>
            </w:div>
            <w:div w:id="1502231183">
              <w:marLeft w:val="0"/>
              <w:marRight w:val="0"/>
              <w:marTop w:val="0"/>
              <w:marBottom w:val="0"/>
              <w:divBdr>
                <w:top w:val="none" w:sz="0" w:space="0" w:color="auto"/>
                <w:left w:val="none" w:sz="0" w:space="0" w:color="auto"/>
                <w:bottom w:val="none" w:sz="0" w:space="0" w:color="auto"/>
                <w:right w:val="none" w:sz="0" w:space="0" w:color="auto"/>
              </w:divBdr>
            </w:div>
            <w:div w:id="1502231184">
              <w:marLeft w:val="0"/>
              <w:marRight w:val="0"/>
              <w:marTop w:val="0"/>
              <w:marBottom w:val="0"/>
              <w:divBdr>
                <w:top w:val="none" w:sz="0" w:space="0" w:color="auto"/>
                <w:left w:val="none" w:sz="0" w:space="0" w:color="auto"/>
                <w:bottom w:val="none" w:sz="0" w:space="0" w:color="auto"/>
                <w:right w:val="none" w:sz="0" w:space="0" w:color="auto"/>
              </w:divBdr>
            </w:div>
            <w:div w:id="1502231186">
              <w:marLeft w:val="0"/>
              <w:marRight w:val="0"/>
              <w:marTop w:val="0"/>
              <w:marBottom w:val="0"/>
              <w:divBdr>
                <w:top w:val="none" w:sz="0" w:space="0" w:color="auto"/>
                <w:left w:val="none" w:sz="0" w:space="0" w:color="auto"/>
                <w:bottom w:val="none" w:sz="0" w:space="0" w:color="auto"/>
                <w:right w:val="none" w:sz="0" w:space="0" w:color="auto"/>
              </w:divBdr>
            </w:div>
            <w:div w:id="1502231187">
              <w:marLeft w:val="0"/>
              <w:marRight w:val="0"/>
              <w:marTop w:val="0"/>
              <w:marBottom w:val="0"/>
              <w:divBdr>
                <w:top w:val="none" w:sz="0" w:space="0" w:color="auto"/>
                <w:left w:val="none" w:sz="0" w:space="0" w:color="auto"/>
                <w:bottom w:val="none" w:sz="0" w:space="0" w:color="auto"/>
                <w:right w:val="none" w:sz="0" w:space="0" w:color="auto"/>
              </w:divBdr>
            </w:div>
            <w:div w:id="1502231188">
              <w:marLeft w:val="0"/>
              <w:marRight w:val="0"/>
              <w:marTop w:val="0"/>
              <w:marBottom w:val="0"/>
              <w:divBdr>
                <w:top w:val="none" w:sz="0" w:space="0" w:color="auto"/>
                <w:left w:val="none" w:sz="0" w:space="0" w:color="auto"/>
                <w:bottom w:val="none" w:sz="0" w:space="0" w:color="auto"/>
                <w:right w:val="none" w:sz="0" w:space="0" w:color="auto"/>
              </w:divBdr>
            </w:div>
            <w:div w:id="1502231189">
              <w:marLeft w:val="0"/>
              <w:marRight w:val="0"/>
              <w:marTop w:val="0"/>
              <w:marBottom w:val="0"/>
              <w:divBdr>
                <w:top w:val="none" w:sz="0" w:space="0" w:color="auto"/>
                <w:left w:val="none" w:sz="0" w:space="0" w:color="auto"/>
                <w:bottom w:val="none" w:sz="0" w:space="0" w:color="auto"/>
                <w:right w:val="none" w:sz="0" w:space="0" w:color="auto"/>
              </w:divBdr>
            </w:div>
            <w:div w:id="1502231190">
              <w:marLeft w:val="0"/>
              <w:marRight w:val="0"/>
              <w:marTop w:val="0"/>
              <w:marBottom w:val="0"/>
              <w:divBdr>
                <w:top w:val="none" w:sz="0" w:space="0" w:color="auto"/>
                <w:left w:val="none" w:sz="0" w:space="0" w:color="auto"/>
                <w:bottom w:val="none" w:sz="0" w:space="0" w:color="auto"/>
                <w:right w:val="none" w:sz="0" w:space="0" w:color="auto"/>
              </w:divBdr>
            </w:div>
            <w:div w:id="1502231191">
              <w:marLeft w:val="0"/>
              <w:marRight w:val="0"/>
              <w:marTop w:val="0"/>
              <w:marBottom w:val="0"/>
              <w:divBdr>
                <w:top w:val="none" w:sz="0" w:space="0" w:color="auto"/>
                <w:left w:val="none" w:sz="0" w:space="0" w:color="auto"/>
                <w:bottom w:val="none" w:sz="0" w:space="0" w:color="auto"/>
                <w:right w:val="none" w:sz="0" w:space="0" w:color="auto"/>
              </w:divBdr>
            </w:div>
            <w:div w:id="1502231192">
              <w:marLeft w:val="0"/>
              <w:marRight w:val="0"/>
              <w:marTop w:val="0"/>
              <w:marBottom w:val="0"/>
              <w:divBdr>
                <w:top w:val="none" w:sz="0" w:space="0" w:color="auto"/>
                <w:left w:val="none" w:sz="0" w:space="0" w:color="auto"/>
                <w:bottom w:val="none" w:sz="0" w:space="0" w:color="auto"/>
                <w:right w:val="none" w:sz="0" w:space="0" w:color="auto"/>
              </w:divBdr>
            </w:div>
            <w:div w:id="1502231193">
              <w:marLeft w:val="0"/>
              <w:marRight w:val="0"/>
              <w:marTop w:val="0"/>
              <w:marBottom w:val="0"/>
              <w:divBdr>
                <w:top w:val="none" w:sz="0" w:space="0" w:color="auto"/>
                <w:left w:val="none" w:sz="0" w:space="0" w:color="auto"/>
                <w:bottom w:val="none" w:sz="0" w:space="0" w:color="auto"/>
                <w:right w:val="none" w:sz="0" w:space="0" w:color="auto"/>
              </w:divBdr>
            </w:div>
            <w:div w:id="1502231194">
              <w:marLeft w:val="0"/>
              <w:marRight w:val="0"/>
              <w:marTop w:val="0"/>
              <w:marBottom w:val="0"/>
              <w:divBdr>
                <w:top w:val="none" w:sz="0" w:space="0" w:color="auto"/>
                <w:left w:val="none" w:sz="0" w:space="0" w:color="auto"/>
                <w:bottom w:val="none" w:sz="0" w:space="0" w:color="auto"/>
                <w:right w:val="none" w:sz="0" w:space="0" w:color="auto"/>
              </w:divBdr>
            </w:div>
            <w:div w:id="1502231195">
              <w:marLeft w:val="0"/>
              <w:marRight w:val="0"/>
              <w:marTop w:val="0"/>
              <w:marBottom w:val="0"/>
              <w:divBdr>
                <w:top w:val="none" w:sz="0" w:space="0" w:color="auto"/>
                <w:left w:val="none" w:sz="0" w:space="0" w:color="auto"/>
                <w:bottom w:val="none" w:sz="0" w:space="0" w:color="auto"/>
                <w:right w:val="none" w:sz="0" w:space="0" w:color="auto"/>
              </w:divBdr>
            </w:div>
            <w:div w:id="15022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805</Words>
  <Characters>4592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 KTEA II</dc:title>
  <dc:subject/>
  <dc:creator>Jon</dc:creator>
  <cp:keywords/>
  <dc:description/>
  <cp:lastModifiedBy>Lisa Marczyk</cp:lastModifiedBy>
  <cp:revision>2</cp:revision>
  <dcterms:created xsi:type="dcterms:W3CDTF">2011-01-31T04:02:00Z</dcterms:created>
  <dcterms:modified xsi:type="dcterms:W3CDTF">2011-01-31T04:02:00Z</dcterms:modified>
</cp:coreProperties>
</file>